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2BE" w:rsidRDefault="00E312BE" w:rsidP="00E312BE">
      <w:bookmarkStart w:id="0" w:name="_GoBack"/>
      <w:bookmarkEnd w:id="0"/>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3119"/>
        <w:gridCol w:w="4958"/>
      </w:tblGrid>
      <w:tr w:rsidR="00E312BE" w:rsidRPr="00E312BE" w:rsidTr="00E312BE">
        <w:trPr>
          <w:jc w:val="center"/>
        </w:trPr>
        <w:tc>
          <w:tcPr>
            <w:tcW w:w="743" w:type="dxa"/>
            <w:hideMark/>
          </w:tcPr>
          <w:p w:rsidR="00E312BE" w:rsidRPr="00E312BE" w:rsidRDefault="00E312BE" w:rsidP="00E312BE">
            <w:pPr>
              <w:jc w:val="left"/>
              <w:rPr>
                <w:rFonts w:ascii="Arial" w:hAnsi="Arial"/>
                <w:b/>
                <w:bCs/>
                <w:rtl/>
              </w:rPr>
            </w:pPr>
            <w:r w:rsidRPr="00E312BE">
              <w:rPr>
                <w:rFonts w:ascii="Arial" w:hAnsi="Arial"/>
                <w:b/>
                <w:bCs/>
                <w:rtl/>
              </w:rPr>
              <w:t xml:space="preserve">בפני </w:t>
            </w:r>
          </w:p>
        </w:tc>
        <w:tc>
          <w:tcPr>
            <w:tcW w:w="8077" w:type="dxa"/>
            <w:gridSpan w:val="2"/>
          </w:tcPr>
          <w:p w:rsidR="00E312BE" w:rsidRPr="00E312BE" w:rsidRDefault="00E312BE" w:rsidP="00E312BE">
            <w:pPr>
              <w:jc w:val="left"/>
              <w:rPr>
                <w:rFonts w:ascii="Arial" w:hAnsi="Arial"/>
                <w:b/>
                <w:bCs/>
              </w:rPr>
            </w:pPr>
            <w:r w:rsidRPr="00E312BE">
              <w:rPr>
                <w:rFonts w:ascii="Arial" w:hAnsi="Arial"/>
                <w:b/>
                <w:bCs/>
                <w:rtl/>
              </w:rPr>
              <w:t>כב' ה</w:t>
            </w:r>
            <w:sdt>
              <w:sdtPr>
                <w:rPr>
                  <w:rtl/>
                </w:rPr>
                <w:alias w:val="1574"/>
                <w:tag w:val="1574"/>
                <w:id w:val="490682261"/>
                <w:text w:multiLine="1"/>
              </w:sdtPr>
              <w:sdtEndPr/>
              <w:sdtContent>
                <w:r w:rsidRPr="00E312BE">
                  <w:rPr>
                    <w:rFonts w:ascii="Arial" w:hAnsi="Arial"/>
                    <w:b/>
                    <w:bCs/>
                    <w:rtl/>
                  </w:rPr>
                  <w:t>שופטת</w:t>
                </w:r>
              </w:sdtContent>
            </w:sdt>
            <w:r w:rsidRPr="00E312BE">
              <w:rPr>
                <w:rFonts w:ascii="Arial" w:hAnsi="Arial"/>
                <w:b/>
                <w:bCs/>
                <w:rtl/>
              </w:rPr>
              <w:t xml:space="preserve">  </w:t>
            </w:r>
            <w:sdt>
              <w:sdtPr>
                <w:rPr>
                  <w:rtl/>
                </w:rPr>
                <w:alias w:val="1573"/>
                <w:tag w:val="1573"/>
                <w:id w:val="-1842311034"/>
                <w:text w:multiLine="1"/>
              </w:sdtPr>
              <w:sdtEndPr/>
              <w:sdtContent>
                <w:r w:rsidRPr="00E312BE">
                  <w:rPr>
                    <w:rFonts w:ascii="Arial" w:hAnsi="Arial"/>
                    <w:b/>
                    <w:bCs/>
                    <w:rtl/>
                  </w:rPr>
                  <w:t>איריס ארבל-אסל</w:t>
                </w:r>
              </w:sdtContent>
            </w:sdt>
          </w:p>
          <w:p w:rsidR="00E312BE" w:rsidRDefault="00E312BE" w:rsidP="00E312BE">
            <w:pPr>
              <w:jc w:val="left"/>
              <w:rPr>
                <w:rFonts w:ascii="Arial" w:hAnsi="Arial" w:cs="FrankRuehl"/>
                <w:sz w:val="28"/>
                <w:szCs w:val="28"/>
                <w:highlight w:val="yellow"/>
                <w:rtl/>
              </w:rPr>
            </w:pPr>
          </w:p>
          <w:p w:rsidR="00E312BE" w:rsidRPr="00E312BE" w:rsidRDefault="00E312BE" w:rsidP="00E312BE">
            <w:pPr>
              <w:jc w:val="left"/>
              <w:rPr>
                <w:rFonts w:ascii="Arial" w:hAnsi="Arial" w:cs="FrankRuehl"/>
                <w:sz w:val="28"/>
                <w:szCs w:val="28"/>
                <w:highlight w:val="yellow"/>
                <w:rtl/>
              </w:rPr>
            </w:pPr>
          </w:p>
        </w:tc>
      </w:tr>
      <w:tr w:rsidR="00E312BE" w:rsidRPr="00E312BE" w:rsidTr="00E312BE">
        <w:trPr>
          <w:jc w:val="center"/>
        </w:trPr>
        <w:sdt>
          <w:sdtPr>
            <w:rPr>
              <w:rFonts w:ascii="Arial" w:hAnsi="Arial"/>
              <w:b/>
              <w:bCs/>
              <w:noProof w:val="0"/>
            </w:rPr>
            <w:alias w:val="1180"/>
            <w:tag w:val="1180"/>
            <w:id w:val="108787784"/>
            <w:placeholder>
              <w:docPart w:val="53D9EE9F81ED4B20AE893AE3C5183F0C"/>
            </w:placeholder>
            <w:showingPlcHdr/>
            <w:text w:multiLine="1"/>
          </w:sdtPr>
          <w:sdtEndPr/>
          <w:sdtContent>
            <w:tc>
              <w:tcPr>
                <w:tcW w:w="3862" w:type="dxa"/>
                <w:gridSpan w:val="2"/>
                <w:hideMark/>
              </w:tcPr>
              <w:p w:rsidR="00E312BE" w:rsidRPr="00E312BE" w:rsidRDefault="00E312BE" w:rsidP="00E312BE">
                <w:pPr>
                  <w:bidi w:val="0"/>
                  <w:rPr>
                    <w:rFonts w:ascii="Arial" w:hAnsi="Arial"/>
                    <w:b/>
                    <w:bCs/>
                    <w:noProof w:val="0"/>
                  </w:rPr>
                </w:pPr>
                <w:r w:rsidRPr="00E312BE">
                  <w:rPr>
                    <w:rStyle w:val="a4"/>
                    <w:b/>
                    <w:bCs/>
                    <w:color w:val="auto"/>
                    <w:rtl/>
                  </w:rPr>
                  <w:t>תובעים</w:t>
                </w:r>
              </w:p>
            </w:tc>
          </w:sdtContent>
        </w:sdt>
        <w:tc>
          <w:tcPr>
            <w:tcW w:w="4958" w:type="dxa"/>
            <w:hideMark/>
          </w:tcPr>
          <w:p w:rsidR="00E312BE" w:rsidRPr="00E312BE" w:rsidRDefault="00E312BE" w:rsidP="00E312BE">
            <w:pPr>
              <w:jc w:val="left"/>
              <w:rPr>
                <w:b/>
                <w:bCs/>
                <w:noProof w:val="0"/>
              </w:rPr>
            </w:pPr>
            <w:r w:rsidRPr="00E312BE">
              <w:rPr>
                <w:b/>
                <w:bCs/>
                <w:noProof w:val="0"/>
                <w:rtl/>
              </w:rPr>
              <w:t xml:space="preserve"> </w:t>
            </w:r>
            <w:sdt>
              <w:sdtPr>
                <w:rPr>
                  <w:b/>
                  <w:bCs/>
                  <w:noProof w:val="0"/>
                  <w:rtl/>
                </w:rPr>
                <w:alias w:val="1462"/>
                <w:tag w:val="1462"/>
                <w:id w:val="-1109351581"/>
                <w:placeholder>
                  <w:docPart w:val="113D8F1DAE3F42C18D7476F3E553E5C7"/>
                </w:placeholder>
                <w:text w:multiLine="1"/>
              </w:sdtPr>
              <w:sdtEndPr/>
              <w:sdtContent>
                <w:r w:rsidRPr="00E312BE">
                  <w:rPr>
                    <w:rStyle w:val="a4"/>
                    <w:b/>
                    <w:bCs/>
                    <w:color w:val="auto"/>
                    <w:rtl/>
                  </w:rPr>
                  <w:t>1</w:t>
                </w:r>
              </w:sdtContent>
            </w:sdt>
            <w:r w:rsidRPr="00E312BE">
              <w:rPr>
                <w:b/>
                <w:bCs/>
                <w:noProof w:val="0"/>
                <w:rtl/>
              </w:rPr>
              <w:t xml:space="preserve">. </w:t>
            </w:r>
            <w:r w:rsidRPr="00E312BE">
              <w:rPr>
                <w:rStyle w:val="a4"/>
                <w:rFonts w:hint="cs"/>
                <w:b/>
                <w:bCs/>
                <w:color w:val="auto"/>
                <w:rtl/>
              </w:rPr>
              <w:t>האם</w:t>
            </w:r>
          </w:p>
        </w:tc>
      </w:tr>
      <w:tr w:rsidR="00E312BE" w:rsidRPr="00E312BE" w:rsidTr="00E312BE">
        <w:trPr>
          <w:jc w:val="center"/>
        </w:trPr>
        <w:tc>
          <w:tcPr>
            <w:tcW w:w="8820" w:type="dxa"/>
            <w:gridSpan w:val="3"/>
          </w:tcPr>
          <w:p w:rsidR="00E312BE" w:rsidRPr="00E312BE" w:rsidRDefault="00E312BE" w:rsidP="00E312BE">
            <w:pPr>
              <w:jc w:val="left"/>
              <w:rPr>
                <w:rFonts w:ascii="Arial" w:hAnsi="Arial"/>
                <w:b/>
                <w:bCs/>
                <w:noProof w:val="0"/>
              </w:rPr>
            </w:pPr>
          </w:p>
          <w:p w:rsidR="00E312BE" w:rsidRPr="00E312BE" w:rsidRDefault="00E312BE" w:rsidP="00E312BE">
            <w:pPr>
              <w:jc w:val="center"/>
              <w:rPr>
                <w:rFonts w:ascii="Arial" w:hAnsi="Arial"/>
                <w:b/>
                <w:bCs/>
                <w:noProof w:val="0"/>
                <w:rtl/>
              </w:rPr>
            </w:pPr>
            <w:r w:rsidRPr="00E312BE">
              <w:rPr>
                <w:rFonts w:ascii="Arial" w:hAnsi="Arial"/>
                <w:b/>
                <w:bCs/>
                <w:noProof w:val="0"/>
                <w:rtl/>
              </w:rPr>
              <w:t>נגד</w:t>
            </w:r>
          </w:p>
          <w:p w:rsidR="00E312BE" w:rsidRPr="00E312BE" w:rsidRDefault="00E312BE" w:rsidP="00E312BE">
            <w:pPr>
              <w:jc w:val="left"/>
              <w:rPr>
                <w:rFonts w:ascii="Arial" w:hAnsi="Arial"/>
                <w:b/>
                <w:bCs/>
                <w:noProof w:val="0"/>
                <w:rtl/>
              </w:rPr>
            </w:pPr>
          </w:p>
        </w:tc>
      </w:tr>
      <w:tr w:rsidR="00E312BE" w:rsidRPr="00E312BE" w:rsidTr="00E312BE">
        <w:trPr>
          <w:jc w:val="center"/>
        </w:trPr>
        <w:tc>
          <w:tcPr>
            <w:tcW w:w="3862" w:type="dxa"/>
            <w:gridSpan w:val="2"/>
            <w:hideMark/>
          </w:tcPr>
          <w:p w:rsidR="00E312BE" w:rsidRPr="00E312BE" w:rsidRDefault="009D63F7" w:rsidP="00E312BE">
            <w:pPr>
              <w:jc w:val="left"/>
              <w:rPr>
                <w:rFonts w:ascii="Arial" w:hAnsi="Arial"/>
                <w:b/>
                <w:bCs/>
                <w:noProof w:val="0"/>
              </w:rPr>
            </w:pPr>
            <w:sdt>
              <w:sdtPr>
                <w:rPr>
                  <w:b/>
                  <w:bCs/>
                  <w:rtl/>
                </w:rPr>
                <w:alias w:val="1184"/>
                <w:tag w:val="1184"/>
                <w:id w:val="1218863978"/>
                <w:text w:multiLine="1"/>
              </w:sdtPr>
              <w:sdtEndPr/>
              <w:sdtContent>
                <w:r w:rsidR="00E312BE" w:rsidRPr="00E312BE">
                  <w:rPr>
                    <w:rFonts w:ascii="Arial" w:hAnsi="Arial"/>
                    <w:b/>
                    <w:bCs/>
                    <w:noProof w:val="0"/>
                    <w:rtl/>
                  </w:rPr>
                  <w:t>נתבעים</w:t>
                </w:r>
              </w:sdtContent>
            </w:sdt>
          </w:p>
        </w:tc>
        <w:tc>
          <w:tcPr>
            <w:tcW w:w="4958" w:type="dxa"/>
            <w:hideMark/>
          </w:tcPr>
          <w:p w:rsidR="00E312BE" w:rsidRPr="00E312BE" w:rsidRDefault="00E312BE" w:rsidP="00E312BE">
            <w:pPr>
              <w:jc w:val="left"/>
              <w:rPr>
                <w:b/>
                <w:bCs/>
                <w:noProof w:val="0"/>
              </w:rPr>
            </w:pPr>
            <w:r w:rsidRPr="00E312BE">
              <w:rPr>
                <w:b/>
                <w:bCs/>
                <w:noProof w:val="0"/>
                <w:rtl/>
              </w:rPr>
              <w:t xml:space="preserve"> </w:t>
            </w:r>
            <w:sdt>
              <w:sdtPr>
                <w:rPr>
                  <w:rFonts w:hint="cs"/>
                  <w:b/>
                  <w:bCs/>
                  <w:noProof w:val="0"/>
                  <w:rtl/>
                </w:rPr>
                <w:alias w:val="1571"/>
                <w:tag w:val="1571"/>
                <w:id w:val="715625760"/>
                <w:text w:multiLine="1"/>
              </w:sdtPr>
              <w:sdtEndPr/>
              <w:sdtContent>
                <w:r w:rsidRPr="00E312BE">
                  <w:rPr>
                    <w:rStyle w:val="a4"/>
                    <w:rFonts w:hint="cs"/>
                    <w:b/>
                    <w:bCs/>
                    <w:color w:val="auto"/>
                    <w:rtl/>
                  </w:rPr>
                  <w:t>1</w:t>
                </w:r>
              </w:sdtContent>
            </w:sdt>
            <w:r w:rsidRPr="00E312BE">
              <w:rPr>
                <w:rFonts w:hint="cs"/>
                <w:b/>
                <w:bCs/>
                <w:noProof w:val="0"/>
                <w:rtl/>
              </w:rPr>
              <w:t xml:space="preserve">. </w:t>
            </w:r>
            <w:r w:rsidRPr="00E312BE">
              <w:rPr>
                <w:rStyle w:val="a4"/>
                <w:rFonts w:hint="cs"/>
                <w:b/>
                <w:bCs/>
                <w:color w:val="auto"/>
                <w:rtl/>
              </w:rPr>
              <w:t>האב</w:t>
            </w:r>
          </w:p>
        </w:tc>
      </w:tr>
    </w:tbl>
    <w:p w:rsidR="00E312BE" w:rsidRDefault="00E312BE" w:rsidP="00E312BE">
      <w:pPr>
        <w:rPr>
          <w:rtl/>
        </w:rPr>
      </w:pPr>
    </w:p>
    <w:p w:rsidR="00E312BE" w:rsidRDefault="00E312BE" w:rsidP="00E312BE"/>
    <w:p w:rsidR="00CA72A6" w:rsidRDefault="00CA72A6" w:rsidP="00CA72A6">
      <w:pPr>
        <w:spacing w:line="360" w:lineRule="auto"/>
        <w:jc w:val="center"/>
        <w:rPr>
          <w:rFonts w:ascii="Arial" w:hAnsi="Arial"/>
          <w:b/>
          <w:bCs/>
          <w:noProof w:val="0"/>
          <w:u w:val="single"/>
          <w:rtl/>
        </w:rPr>
      </w:pPr>
    </w:p>
    <w:p w:rsidR="00CA72A6" w:rsidRPr="00CA72A6" w:rsidRDefault="00CA72A6" w:rsidP="00CA72A6">
      <w:pPr>
        <w:spacing w:line="360" w:lineRule="auto"/>
        <w:jc w:val="center"/>
        <w:rPr>
          <w:rFonts w:ascii="Arial" w:hAnsi="Arial"/>
          <w:b/>
          <w:bCs/>
          <w:noProof w:val="0"/>
          <w:sz w:val="34"/>
          <w:szCs w:val="34"/>
          <w:u w:val="single"/>
          <w:rtl/>
        </w:rPr>
      </w:pPr>
      <w:r w:rsidRPr="00CA72A6">
        <w:rPr>
          <w:rFonts w:ascii="Arial" w:hAnsi="Arial" w:hint="cs"/>
          <w:b/>
          <w:bCs/>
          <w:noProof w:val="0"/>
          <w:sz w:val="34"/>
          <w:szCs w:val="34"/>
          <w:u w:val="single"/>
          <w:rtl/>
        </w:rPr>
        <w:t>פסק דין</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הצדדים, בני זוג לשעבר, הורים לילדה אחת משותפת, ילידת 12.9.199 (להלן – "הילדה").</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המבקשת בעלת אזרחות</w:t>
      </w:r>
      <w:r w:rsidR="00CA72A6">
        <w:rPr>
          <w:rFonts w:ascii="Arial" w:hAnsi="Arial" w:hint="cs"/>
          <w:noProof w:val="0"/>
          <w:rtl/>
        </w:rPr>
        <w:t xml:space="preserve"> זרה והיא מתגוררת במדינת </w:t>
      </w:r>
      <w:r w:rsidR="00CA72A6">
        <w:rPr>
          <w:rFonts w:ascii="Arial" w:hAnsi="Arial" w:hint="cs"/>
          <w:noProof w:val="0"/>
        </w:rPr>
        <w:t>X</w:t>
      </w:r>
      <w:r>
        <w:rPr>
          <w:rFonts w:ascii="Arial" w:hAnsi="Arial"/>
          <w:noProof w:val="0"/>
          <w:rtl/>
        </w:rPr>
        <w:t>, המשיב אזרח ותושב ישראל.</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ביום 30.6.2009 נתן בית המשפט לענייני משפחה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פסק דין למזונות הילדה (להלן – "פסק הדין ה</w:t>
      </w:r>
      <w:r w:rsidR="00CA72A6">
        <w:rPr>
          <w:rFonts w:ascii="Arial" w:hAnsi="Arial" w:hint="cs"/>
          <w:noProof w:val="0"/>
          <w:rtl/>
        </w:rPr>
        <w:t>זר</w:t>
      </w:r>
      <w:r>
        <w:rPr>
          <w:rFonts w:ascii="Arial" w:hAnsi="Arial"/>
          <w:noProof w:val="0"/>
          <w:rtl/>
        </w:rPr>
        <w:t>"), הקובע כי הילדה זכאית למזונות בסכום כפי שנקצב בפסק הדין ה</w:t>
      </w:r>
      <w:r w:rsidR="00CA72A6">
        <w:rPr>
          <w:rFonts w:ascii="Arial" w:hAnsi="Arial" w:hint="cs"/>
          <w:noProof w:val="0"/>
          <w:rtl/>
        </w:rPr>
        <w:t>זר</w:t>
      </w:r>
      <w:r>
        <w:rPr>
          <w:rFonts w:ascii="Arial" w:hAnsi="Arial"/>
          <w:noProof w:val="0"/>
          <w:rtl/>
        </w:rPr>
        <w:t>, מבלי שנקבע בפסק הדין ה</w:t>
      </w:r>
      <w:r w:rsidR="00CA72A6">
        <w:rPr>
          <w:rFonts w:ascii="Arial" w:hAnsi="Arial" w:hint="cs"/>
          <w:noProof w:val="0"/>
          <w:rtl/>
        </w:rPr>
        <w:t>זר</w:t>
      </w:r>
      <w:r>
        <w:rPr>
          <w:rFonts w:ascii="Arial" w:hAnsi="Arial"/>
          <w:noProof w:val="0"/>
          <w:rtl/>
        </w:rPr>
        <w:t xml:space="preserve"> מועד לסיום החיוב במזונות. </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ביום 10.6.2014 ועל פי הסכמת הצדדים, נתן בית משפט זה פסק דין לאכיפת פסק הדין ה</w:t>
      </w:r>
      <w:r w:rsidR="00CA72A6">
        <w:rPr>
          <w:rFonts w:ascii="Arial" w:hAnsi="Arial" w:hint="cs"/>
          <w:noProof w:val="0"/>
          <w:rtl/>
        </w:rPr>
        <w:t>זר</w:t>
      </w:r>
      <w:r>
        <w:rPr>
          <w:rFonts w:ascii="Arial" w:hAnsi="Arial"/>
          <w:noProof w:val="0"/>
          <w:rtl/>
        </w:rPr>
        <w:t xml:space="preserve"> מכוח הוראות חוק לאכיפת פסקי חוץ, התשי"ח-1958 (</w:t>
      </w:r>
      <w:proofErr w:type="spellStart"/>
      <w:r>
        <w:rPr>
          <w:rFonts w:ascii="Arial" w:hAnsi="Arial"/>
          <w:noProof w:val="0"/>
          <w:rtl/>
        </w:rPr>
        <w:t>אפי"ח</w:t>
      </w:r>
      <w:proofErr w:type="spellEnd"/>
      <w:r>
        <w:rPr>
          <w:rFonts w:ascii="Arial" w:hAnsi="Arial"/>
          <w:noProof w:val="0"/>
          <w:rtl/>
        </w:rPr>
        <w:t xml:space="preserve"> 43102-04-14).</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במסגרת ההליך שבכותרת, נדרש בית המשפט להכריע במחלוקת שהתגלעה בין הצדדים לעניין מועד תום החיוב במזונות על פי פסק הדין </w:t>
      </w:r>
      <w:r w:rsidR="00CA72A6">
        <w:rPr>
          <w:rFonts w:ascii="Arial" w:hAnsi="Arial"/>
          <w:noProof w:val="0"/>
          <w:rtl/>
        </w:rPr>
        <w:t>הזר</w:t>
      </w:r>
      <w:r>
        <w:rPr>
          <w:rFonts w:ascii="Arial" w:hAnsi="Arial"/>
          <w:noProof w:val="0"/>
          <w:rtl/>
        </w:rPr>
        <w:t xml:space="preserve">: לטענת התובעת, הדין </w:t>
      </w:r>
      <w:r w:rsidR="00CA72A6">
        <w:rPr>
          <w:rFonts w:ascii="Arial" w:hAnsi="Arial" w:hint="cs"/>
          <w:noProof w:val="0"/>
          <w:rtl/>
        </w:rPr>
        <w:t xml:space="preserve">במדינת </w:t>
      </w:r>
      <w:r w:rsidR="00CA72A6">
        <w:rPr>
          <w:rFonts w:ascii="Arial" w:hAnsi="Arial" w:hint="cs"/>
          <w:noProof w:val="0"/>
        </w:rPr>
        <w:t>X</w:t>
      </w:r>
      <w:r>
        <w:rPr>
          <w:rFonts w:ascii="Arial" w:hAnsi="Arial"/>
          <w:noProof w:val="0"/>
          <w:rtl/>
        </w:rPr>
        <w:t xml:space="preserve"> מורה כי ילד זכאי למזונות עד לסיום לימודיו במוסד להשכלה גבוהה, בעוד הנתבע טוען כי החיוב הסתיים ביום הולדתה ה-18 של הילדה. </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על פי ההלכה, פסק חוץ ייאכף על פי דין המקום בו הוא ניתן והעובדה שהוכרז כאכיף בישראל, איננה מוסיפה או גורעת ממנו דבר. כך נאמר לעניין זה בע"א 3459/94 </w:t>
      </w:r>
      <w:r>
        <w:rPr>
          <w:rFonts w:ascii="Arial" w:hAnsi="Arial"/>
          <w:noProof w:val="0"/>
        </w:rPr>
        <w:t xml:space="preserve">I.P. Enterprises Inc. </w:t>
      </w:r>
      <w:r>
        <w:rPr>
          <w:rFonts w:ascii="Arial" w:hAnsi="Arial"/>
          <w:noProof w:val="0"/>
          <w:rtl/>
        </w:rPr>
        <w:t xml:space="preserve">נ' </w:t>
      </w:r>
      <w:proofErr w:type="spellStart"/>
      <w:r>
        <w:rPr>
          <w:rFonts w:ascii="Arial" w:hAnsi="Arial"/>
          <w:noProof w:val="0"/>
          <w:rtl/>
        </w:rPr>
        <w:t>מילוזן</w:t>
      </w:r>
      <w:proofErr w:type="spellEnd"/>
      <w:r>
        <w:rPr>
          <w:rFonts w:ascii="Arial" w:hAnsi="Arial"/>
          <w:noProof w:val="0"/>
          <w:rtl/>
        </w:rPr>
        <w:t xml:space="preserve"> בע"מ, נב(1) 273 (1998):</w:t>
      </w:r>
    </w:p>
    <w:p w:rsidR="00E312BE" w:rsidRDefault="00E312BE" w:rsidP="00CA72A6">
      <w:pPr>
        <w:pStyle w:val="a3"/>
        <w:spacing w:before="120" w:after="120" w:line="360" w:lineRule="auto"/>
        <w:ind w:left="1134" w:right="567"/>
        <w:contextualSpacing w:val="0"/>
        <w:jc w:val="both"/>
        <w:rPr>
          <w:rFonts w:ascii="Miriam" w:hAnsi="Miriam" w:cs="Miriam"/>
          <w:noProof w:val="0"/>
        </w:rPr>
      </w:pPr>
      <w:r>
        <w:rPr>
          <w:rFonts w:ascii="Miriam" w:hAnsi="Miriam" w:cs="Miriam"/>
          <w:color w:val="000000"/>
          <w:rtl/>
        </w:rPr>
        <w:t xml:space="preserve"> "המסקנה העולה מאלה היא שכל פועלה של הכרזת פסק-חוץ אכיף הוא שהפסק נעשה ראוי לבוא בשעריה של המדינה. זאת ותו לא. כאותו אביר שניתן לו היתר להיכנס למצודה, שכניסתו אינה עוטה עליו שריון נוסף או נותנת בידיו נשק שלא היה בידיו לפני כניסתו. הכרזתו של פסק-החוץ אכיף אינה מוסיפה לו דבר, אין היא גורעת ממנו ואין היא משנה אותו בדרך אחרת. הוא נשאר פסק-חוץ – שניתן אמנם להוציאו לפועל בישראל – אולם אין הוא משנה את פניו והופך להיות פסק-דין ישראלי, כמו פסק-</w:t>
      </w:r>
      <w:r>
        <w:rPr>
          <w:rFonts w:ascii="Miriam" w:hAnsi="Miriam" w:cs="Miriam"/>
          <w:color w:val="000000"/>
          <w:rtl/>
        </w:rPr>
        <w:lastRenderedPageBreak/>
        <w:t>דין שניתן על-פי תובענה שהוגשה בישראל. הכרזתו של פסק-החוץ אכיף אינה משנה אפוא את פניו ואינה הופכת אותו להיות פסק-דין ישראלי, כמו פסק-דין שניתן על-פי תובענה שהוגשה בישראל</w:t>
      </w:r>
      <w:r>
        <w:rPr>
          <w:rFonts w:ascii="Miriam" w:hAnsi="Miriam" w:cs="Miriam"/>
          <w:color w:val="000000"/>
        </w:rPr>
        <w:t>."</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כלומר, עצם ההכרזה על פסק חוץ כבר-אכיפה בישראל, איננה מחילה עליו את הדין הישראלי והוא נותר פסק חוץ, הכפוף לחוקי המדינה בה ניתן. מכיוון שמדובר בפסק דין שניתן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הדין הרלוונטי החל על פסק הדין הוא הדין </w:t>
      </w:r>
      <w:r w:rsidR="00CA72A6">
        <w:rPr>
          <w:rFonts w:ascii="Arial" w:hAnsi="Arial" w:hint="cs"/>
          <w:noProof w:val="0"/>
          <w:rtl/>
        </w:rPr>
        <w:t xml:space="preserve">במדינת </w:t>
      </w:r>
      <w:r w:rsidR="00CA72A6">
        <w:rPr>
          <w:rFonts w:ascii="Arial" w:hAnsi="Arial" w:hint="cs"/>
          <w:noProof w:val="0"/>
        </w:rPr>
        <w:t>X</w:t>
      </w:r>
      <w:r w:rsidR="00CA72A6">
        <w:rPr>
          <w:rFonts w:ascii="Arial" w:hAnsi="Arial" w:hint="cs"/>
          <w:noProof w:val="0"/>
          <w:rtl/>
        </w:rPr>
        <w:t xml:space="preserve"> </w:t>
      </w:r>
      <w:r>
        <w:rPr>
          <w:rFonts w:ascii="Arial" w:hAnsi="Arial"/>
          <w:noProof w:val="0"/>
          <w:rtl/>
        </w:rPr>
        <w:t xml:space="preserve">ולכן יש לבחון מתי מסתיים חיוב במזונות ילדים על פי הדין </w:t>
      </w:r>
      <w:r w:rsidR="00CA72A6">
        <w:rPr>
          <w:rFonts w:ascii="Arial" w:hAnsi="Arial" w:hint="cs"/>
          <w:noProof w:val="0"/>
          <w:rtl/>
        </w:rPr>
        <w:t xml:space="preserve">במדינת </w:t>
      </w:r>
      <w:r w:rsidR="00CA72A6">
        <w:rPr>
          <w:rFonts w:ascii="Arial" w:hAnsi="Arial" w:hint="cs"/>
          <w:noProof w:val="0"/>
        </w:rPr>
        <w:t>X</w:t>
      </w:r>
      <w:r>
        <w:rPr>
          <w:rFonts w:ascii="Arial" w:hAnsi="Arial"/>
          <w:noProof w:val="0"/>
          <w:rtl/>
        </w:rPr>
        <w:t xml:space="preserve">. </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לבקשת בית המשפט, פנתה התובעת אל הרשות המרכזית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על מנת שתבהיר עמדתה לעניין החיוב במזונות לאחר גיל 18 שנים. הרשות המרכזית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הודיעה כי על פי הדין </w:t>
      </w:r>
      <w:r w:rsidR="00CA72A6">
        <w:rPr>
          <w:rFonts w:ascii="Arial" w:hAnsi="Arial" w:hint="cs"/>
          <w:noProof w:val="0"/>
          <w:rtl/>
        </w:rPr>
        <w:t xml:space="preserve">במדינת </w:t>
      </w:r>
      <w:r w:rsidR="00CA72A6">
        <w:rPr>
          <w:rFonts w:ascii="Arial" w:hAnsi="Arial" w:hint="cs"/>
          <w:noProof w:val="0"/>
        </w:rPr>
        <w:t>X</w:t>
      </w:r>
      <w:r w:rsidR="00CA72A6">
        <w:rPr>
          <w:rFonts w:ascii="Arial" w:hAnsi="Arial" w:hint="cs"/>
          <w:noProof w:val="0"/>
          <w:rtl/>
        </w:rPr>
        <w:t>,</w:t>
      </w:r>
      <w:r>
        <w:rPr>
          <w:rFonts w:ascii="Arial" w:hAnsi="Arial"/>
          <w:noProof w:val="0"/>
          <w:rtl/>
        </w:rPr>
        <w:t xml:space="preserve"> החיוב במזונות איננו מוגבל בזמן וחל גם לאחר שמלאו לילד 18 שנים ועד לסיום הלימודים הגבוהים. כן הודיעה הרשות המרכזית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שככל שהחיוב במזונות לאחר גיל 18 שנים לא ייאכף על ידי בית המשפט בישראל, הדבר יהווה הפרה של האמנה משנת 1977 בנוגע להכרה ואכיפה של החלטות בנושאים אזרחיים.</w:t>
      </w:r>
    </w:p>
    <w:p w:rsidR="00E312BE" w:rsidRDefault="00E312BE" w:rsidP="007A71BB">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מאחר שמדובר בדין </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ועל פי הסכמת הצדדים, מינה בית המשפט את עו"ד</w:t>
      </w:r>
      <w:r w:rsidR="007A71BB">
        <w:rPr>
          <w:rFonts w:ascii="Arial" w:hAnsi="Arial" w:hint="cs"/>
          <w:noProof w:val="0"/>
          <w:rtl/>
        </w:rPr>
        <w:t xml:space="preserve"> ______</w:t>
      </w:r>
      <w:r>
        <w:rPr>
          <w:rFonts w:ascii="Arial" w:hAnsi="Arial"/>
          <w:noProof w:val="0"/>
          <w:rtl/>
        </w:rPr>
        <w:t xml:space="preserve"> כמומחה לדין </w:t>
      </w:r>
      <w:r w:rsidR="00CA72A6">
        <w:rPr>
          <w:rFonts w:ascii="Arial" w:hAnsi="Arial" w:hint="cs"/>
          <w:noProof w:val="0"/>
          <w:rtl/>
        </w:rPr>
        <w:t xml:space="preserve">במדינת </w:t>
      </w:r>
      <w:r w:rsidR="00CA72A6">
        <w:rPr>
          <w:rFonts w:ascii="Arial" w:hAnsi="Arial" w:hint="cs"/>
          <w:noProof w:val="0"/>
        </w:rPr>
        <w:t>X</w:t>
      </w:r>
      <w:r>
        <w:rPr>
          <w:rFonts w:ascii="Arial" w:hAnsi="Arial"/>
          <w:noProof w:val="0"/>
          <w:rtl/>
        </w:rPr>
        <w:t xml:space="preserve"> (להלן – "המומחה") לצורך הגשת </w:t>
      </w:r>
      <w:proofErr w:type="spellStart"/>
      <w:r>
        <w:rPr>
          <w:rFonts w:ascii="Arial" w:hAnsi="Arial"/>
          <w:noProof w:val="0"/>
          <w:rtl/>
        </w:rPr>
        <w:t>חוו"ד</w:t>
      </w:r>
      <w:proofErr w:type="spellEnd"/>
      <w:r>
        <w:rPr>
          <w:rFonts w:ascii="Arial" w:hAnsi="Arial"/>
          <w:noProof w:val="0"/>
          <w:rtl/>
        </w:rPr>
        <w:t xml:space="preserve"> לעניין תוקף והיקף החבות במזונות ילדים בגירים מכוח הדין </w:t>
      </w:r>
      <w:r w:rsidR="00CA72A6">
        <w:rPr>
          <w:rFonts w:ascii="Arial" w:hAnsi="Arial" w:hint="cs"/>
          <w:noProof w:val="0"/>
          <w:rtl/>
        </w:rPr>
        <w:t xml:space="preserve">במדינת </w:t>
      </w:r>
      <w:r w:rsidR="00CA72A6">
        <w:rPr>
          <w:rFonts w:ascii="Arial" w:hAnsi="Arial" w:hint="cs"/>
          <w:noProof w:val="0"/>
        </w:rPr>
        <w:t>X</w:t>
      </w:r>
      <w:r>
        <w:rPr>
          <w:rFonts w:ascii="Arial" w:hAnsi="Arial"/>
          <w:noProof w:val="0"/>
          <w:rtl/>
        </w:rPr>
        <w:t>, כאשר השאלות עליהן נדרש המומחה לענות נוסחו על ידי הצדדים עצמם.</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בחוות דעתו מיום 15.5.22 קבע המומחה כדלקמן:</w:t>
      </w:r>
    </w:p>
    <w:p w:rsidR="006522E4" w:rsidRDefault="006522E4" w:rsidP="007A71BB">
      <w:pPr>
        <w:spacing w:before="120" w:after="120" w:line="360" w:lineRule="auto"/>
        <w:ind w:firstLine="651"/>
        <w:jc w:val="both"/>
        <w:rPr>
          <w:rFonts w:ascii="Arial" w:hAnsi="Arial"/>
          <w:noProof w:val="0"/>
          <w:rtl/>
        </w:rPr>
      </w:pPr>
      <w:r w:rsidRPr="006522E4">
        <w:rPr>
          <w:rFonts w:ascii="Arial" w:hAnsi="Arial"/>
          <w:rtl/>
        </w:rPr>
        <w:drawing>
          <wp:inline distT="0" distB="0" distL="0" distR="0">
            <wp:extent cx="4145754" cy="2809168"/>
            <wp:effectExtent l="0" t="0" r="762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65478" cy="2822533"/>
                    </a:xfrm>
                    <a:prstGeom prst="rect">
                      <a:avLst/>
                    </a:prstGeom>
                    <a:noFill/>
                    <a:ln>
                      <a:noFill/>
                    </a:ln>
                  </pic:spPr>
                </pic:pic>
              </a:graphicData>
            </a:graphic>
          </wp:inline>
        </w:drawing>
      </w:r>
    </w:p>
    <w:p w:rsidR="006522E4" w:rsidRPr="006522E4" w:rsidRDefault="006522E4" w:rsidP="006522E4">
      <w:pPr>
        <w:spacing w:before="120" w:after="120" w:line="360" w:lineRule="auto"/>
        <w:jc w:val="both"/>
        <w:rPr>
          <w:rFonts w:ascii="Arial" w:hAnsi="Arial"/>
          <w:noProof w:val="0"/>
        </w:rPr>
      </w:pP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lastRenderedPageBreak/>
        <w:t>המשיב מימש את זכותו להגיש למומחה שאלות הבהרה והגיש למומחה את שאלות ההבהרה הבאות:</w:t>
      </w:r>
    </w:p>
    <w:p w:rsidR="007A71BB" w:rsidRDefault="007A71BB" w:rsidP="007A71BB">
      <w:pPr>
        <w:pStyle w:val="a3"/>
        <w:spacing w:before="120" w:after="120" w:line="360" w:lineRule="auto"/>
        <w:ind w:left="567"/>
        <w:contextualSpacing w:val="0"/>
        <w:jc w:val="both"/>
        <w:rPr>
          <w:rFonts w:ascii="Arial" w:hAnsi="Arial"/>
          <w:noProof w:val="0"/>
        </w:rPr>
      </w:pPr>
      <w:r w:rsidRPr="007A71BB">
        <w:rPr>
          <w:rFonts w:ascii="Arial" w:hAnsi="Arial"/>
          <w:rtl/>
        </w:rPr>
        <w:drawing>
          <wp:inline distT="0" distB="0" distL="0" distR="0">
            <wp:extent cx="4964246" cy="2133243"/>
            <wp:effectExtent l="0" t="0" r="8255" b="63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5488" cy="2142371"/>
                    </a:xfrm>
                    <a:prstGeom prst="rect">
                      <a:avLst/>
                    </a:prstGeom>
                    <a:noFill/>
                    <a:ln>
                      <a:noFill/>
                    </a:ln>
                  </pic:spPr>
                </pic:pic>
              </a:graphicData>
            </a:graphic>
          </wp:inline>
        </w:drawing>
      </w:r>
    </w:p>
    <w:p w:rsidR="00E312BE" w:rsidRDefault="00E312BE" w:rsidP="007A71BB">
      <w:pPr>
        <w:pStyle w:val="a3"/>
        <w:spacing w:before="120" w:after="120" w:line="360" w:lineRule="auto"/>
        <w:ind w:left="567"/>
        <w:contextualSpacing w:val="0"/>
        <w:jc w:val="both"/>
        <w:rPr>
          <w:rFonts w:ascii="Arial" w:hAnsi="Arial"/>
          <w:noProof w:val="0"/>
        </w:rPr>
      </w:pPr>
      <w:r>
        <w:rPr>
          <w:rFonts w:ascii="Arial" w:hAnsi="Arial"/>
          <w:noProof w:val="0"/>
          <w:rtl/>
        </w:rPr>
        <w:t xml:space="preserve"> </w:t>
      </w:r>
      <w:r>
        <w:rPr>
          <w:rFonts w:ascii="Arial" w:hAnsi="Arial"/>
        </w:rPr>
        <w:drawing>
          <wp:inline distT="0" distB="0" distL="0" distR="0">
            <wp:extent cx="4805680" cy="348742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5680" cy="3487420"/>
                    </a:xfrm>
                    <a:prstGeom prst="rect">
                      <a:avLst/>
                    </a:prstGeom>
                    <a:noFill/>
                    <a:ln>
                      <a:noFill/>
                    </a:ln>
                  </pic:spPr>
                </pic:pic>
              </a:graphicData>
            </a:graphic>
          </wp:inline>
        </w:drawing>
      </w:r>
    </w:p>
    <w:p w:rsidR="00E312BE" w:rsidRDefault="00E312BE" w:rsidP="00CA72A6">
      <w:pPr>
        <w:spacing w:before="120" w:after="120" w:line="360" w:lineRule="auto"/>
        <w:jc w:val="both"/>
        <w:rPr>
          <w:rFonts w:ascii="Arial" w:hAnsi="Arial"/>
          <w:noProof w:val="0"/>
          <w:rtl/>
        </w:rPr>
      </w:pP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ביום 28.2.23 הגיש המומחה את התשובות לשאלות ההבהרה, כדלקמן:</w:t>
      </w:r>
    </w:p>
    <w:p w:rsidR="007A71BB" w:rsidRDefault="007A71BB" w:rsidP="007A71BB">
      <w:pPr>
        <w:pStyle w:val="a3"/>
        <w:spacing w:before="120" w:after="120" w:line="360" w:lineRule="auto"/>
        <w:ind w:left="567"/>
        <w:contextualSpacing w:val="0"/>
        <w:jc w:val="both"/>
        <w:rPr>
          <w:rFonts w:ascii="Arial" w:hAnsi="Arial"/>
          <w:noProof w:val="0"/>
        </w:rPr>
      </w:pPr>
      <w:r w:rsidRPr="007A71BB">
        <w:rPr>
          <w:rFonts w:ascii="Arial" w:hAnsi="Arial" w:hint="cs"/>
          <w:rtl/>
        </w:rPr>
        <w:lastRenderedPageBreak/>
        <w:drawing>
          <wp:inline distT="0" distB="0" distL="0" distR="0">
            <wp:extent cx="4332927" cy="2870790"/>
            <wp:effectExtent l="0" t="0" r="0" b="635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246" cy="2891540"/>
                    </a:xfrm>
                    <a:prstGeom prst="rect">
                      <a:avLst/>
                    </a:prstGeom>
                    <a:noFill/>
                    <a:ln>
                      <a:noFill/>
                    </a:ln>
                  </pic:spPr>
                </pic:pic>
              </a:graphicData>
            </a:graphic>
          </wp:inline>
        </w:drawing>
      </w:r>
    </w:p>
    <w:p w:rsidR="007A71BB" w:rsidRDefault="007A71BB" w:rsidP="007A71BB">
      <w:pPr>
        <w:pStyle w:val="a3"/>
        <w:spacing w:before="120" w:after="120" w:line="360" w:lineRule="auto"/>
        <w:ind w:left="567"/>
        <w:contextualSpacing w:val="0"/>
        <w:jc w:val="both"/>
        <w:rPr>
          <w:rFonts w:ascii="Arial" w:hAnsi="Arial"/>
          <w:noProof w:val="0"/>
          <w:rtl/>
        </w:rPr>
      </w:pPr>
      <w:r w:rsidRPr="007A71BB">
        <w:rPr>
          <w:rFonts w:ascii="Arial" w:hAnsi="Arial"/>
          <w:rtl/>
        </w:rPr>
        <w:drawing>
          <wp:inline distT="0" distB="0" distL="0" distR="0">
            <wp:extent cx="4327398" cy="3110713"/>
            <wp:effectExtent l="0" t="0" r="0"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6781" cy="3117458"/>
                    </a:xfrm>
                    <a:prstGeom prst="rect">
                      <a:avLst/>
                    </a:prstGeom>
                    <a:noFill/>
                    <a:ln>
                      <a:noFill/>
                    </a:ln>
                  </pic:spPr>
                </pic:pic>
              </a:graphicData>
            </a:graphic>
          </wp:inline>
        </w:drawing>
      </w:r>
    </w:p>
    <w:p w:rsidR="00E312BE" w:rsidRDefault="00E312BE" w:rsidP="00CA72A6">
      <w:pPr>
        <w:pStyle w:val="a3"/>
        <w:spacing w:before="120" w:after="120" w:line="360" w:lineRule="auto"/>
        <w:ind w:left="567"/>
        <w:contextualSpacing w:val="0"/>
        <w:jc w:val="both"/>
        <w:rPr>
          <w:rFonts w:ascii="Arial" w:hAnsi="Arial"/>
          <w:noProof w:val="0"/>
        </w:rPr>
      </w:pP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יצוין כי אישור על לימודים של הילדה במוסד להשכלה גבוהה צורף והוצג לבית המשפט.</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הנתבע הודיע כי הוא עומד על התנגדותו להחלת החיוב במזונות לאחר גיל 18 שנים ועל כן נקבע ההליך לדיון אשר התקיים בפניי ביום 23.11.23.</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ביום 22.11.23, ערב הדיון, הגיש הנתבע הודעה שכותרתה "מידע רלוונטי לעניין זכאות הבת" ובה טען כי מכיוון שלא הוצגה תשתית ברורה באשר לזכאות הילדה למזונות לאחר גיל 18 </w:t>
      </w:r>
      <w:r>
        <w:rPr>
          <w:rFonts w:ascii="Arial" w:hAnsi="Arial"/>
          <w:noProof w:val="0"/>
          <w:rtl/>
        </w:rPr>
        <w:lastRenderedPageBreak/>
        <w:t>שנים, נאלץ לפנות לעו"ד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אשר בדק ומצא כי הילדה מקבלת סיוע כלכלי מהרשויות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הנתבע טען כי בהתאם </w:t>
      </w:r>
      <w:proofErr w:type="spellStart"/>
      <w:r>
        <w:rPr>
          <w:rFonts w:ascii="Arial" w:hAnsi="Arial"/>
          <w:noProof w:val="0"/>
          <w:rtl/>
        </w:rPr>
        <w:t>לחוו"ד</w:t>
      </w:r>
      <w:proofErr w:type="spellEnd"/>
      <w:r>
        <w:rPr>
          <w:rFonts w:ascii="Arial" w:hAnsi="Arial"/>
          <w:noProof w:val="0"/>
          <w:rtl/>
        </w:rPr>
        <w:t xml:space="preserve"> המומחה, יש לנכות את הסיוע הכלכלי מסכום המזונות שכן מדובר בהכנסה של הילדה, אותה יש לקחת בחשבון בפסיקת המזונות. כן טען הנתבע כי לפי המידע שהתקבל הילדה איננה זכאית למזונות כלל, שכן הפסיקה את לימודיה לפרק זמן העולה על 6 חודשים ובכך איבדה את זכאותה למזונות על פי הדין </w:t>
      </w:r>
      <w:r w:rsidR="00CA72A6">
        <w:rPr>
          <w:rFonts w:ascii="Arial" w:hAnsi="Arial" w:hint="cs"/>
          <w:noProof w:val="0"/>
          <w:rtl/>
        </w:rPr>
        <w:t xml:space="preserve">במדינת </w:t>
      </w:r>
      <w:r w:rsidR="00CA72A6">
        <w:rPr>
          <w:rFonts w:ascii="Arial" w:hAnsi="Arial" w:hint="cs"/>
          <w:noProof w:val="0"/>
        </w:rPr>
        <w:t>X</w:t>
      </w:r>
      <w:r>
        <w:rPr>
          <w:rFonts w:ascii="Arial" w:hAnsi="Arial"/>
          <w:noProof w:val="0"/>
          <w:rtl/>
        </w:rPr>
        <w:t xml:space="preserve"> בשל איסור עיכוב לימודים והיעדר מאמץ לסיום הלימודים בזמן סביר.</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בדיון שהתקיים בפניי טען הנתבע כי </w:t>
      </w:r>
      <w:proofErr w:type="spellStart"/>
      <w:r>
        <w:rPr>
          <w:rFonts w:ascii="Arial" w:hAnsi="Arial"/>
          <w:noProof w:val="0"/>
          <w:rtl/>
        </w:rPr>
        <w:t>חוו"ד</w:t>
      </w:r>
      <w:proofErr w:type="spellEnd"/>
      <w:r>
        <w:rPr>
          <w:rFonts w:ascii="Arial" w:hAnsi="Arial"/>
          <w:noProof w:val="0"/>
          <w:rtl/>
        </w:rPr>
        <w:t xml:space="preserve"> לא ברורה שכן היא לא מסבירה מה הכללים ומה התנאים להמשך החיוב במזונות עבור ילד בגיר. כן טען הנתבע כי </w:t>
      </w:r>
      <w:proofErr w:type="spellStart"/>
      <w:r>
        <w:rPr>
          <w:rFonts w:ascii="Arial" w:hAnsi="Arial"/>
          <w:noProof w:val="0"/>
          <w:rtl/>
        </w:rPr>
        <w:t>חוו"ד</w:t>
      </w:r>
      <w:proofErr w:type="spellEnd"/>
      <w:r>
        <w:rPr>
          <w:rFonts w:ascii="Arial" w:hAnsi="Arial"/>
          <w:noProof w:val="0"/>
          <w:rtl/>
        </w:rPr>
        <w:t xml:space="preserve"> איננה מתייחסת לחובת ההורים לשאת במזונות באופן שווה וכי אין בה התייחסות לחובה של הילד להראות מאמץ ונכונות כנה ולא לעכב את סיום הלימודים.</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מנגד, התובעת טענה כי משעה שהוגשה </w:t>
      </w:r>
      <w:proofErr w:type="spellStart"/>
      <w:r>
        <w:rPr>
          <w:rFonts w:ascii="Arial" w:hAnsi="Arial"/>
          <w:noProof w:val="0"/>
          <w:rtl/>
        </w:rPr>
        <w:t>חוו"ד</w:t>
      </w:r>
      <w:proofErr w:type="spellEnd"/>
      <w:r>
        <w:rPr>
          <w:rFonts w:ascii="Arial" w:hAnsi="Arial"/>
          <w:noProof w:val="0"/>
          <w:rtl/>
        </w:rPr>
        <w:t xml:space="preserve"> מומחה מטעם בית המשפט והנתבע הגיש שאלות הבהרה, אין מקום להמשיך את הדיון שכן לא מדובר בתביעה למזונות אלא בתביעה לאכיפת פסק חוץ. התובעת טוענת כי בנסיבות בהן כבר קיים פסק דין של בית המשפט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אין מקום לבחון בפני בית המשפט בישראל את הכנסות הצדדים ולמעשה, בעלת הדין בהליך היא הרשות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אשר מצדדת באכיפת החיוב גם לאחר שמלאו לילדה 18 שנים.</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לאחר עיון בטענות הצדדים ובתשתית הראייתית והעובדתית שהונחה בפניי, מצאתי כי משעה שפסק הדין </w:t>
      </w:r>
      <w:r w:rsidR="00CA72A6">
        <w:rPr>
          <w:rFonts w:ascii="Arial" w:hAnsi="Arial"/>
          <w:noProof w:val="0"/>
          <w:rtl/>
        </w:rPr>
        <w:t>הזר</w:t>
      </w:r>
      <w:r>
        <w:rPr>
          <w:rFonts w:ascii="Arial" w:hAnsi="Arial"/>
          <w:noProof w:val="0"/>
          <w:rtl/>
        </w:rPr>
        <w:t xml:space="preserve"> הוכרז כבר-אכיפה בישראל, יש להמשיך את החיוב במזונות מכוח פסק הדין </w:t>
      </w:r>
      <w:r w:rsidR="00CA72A6">
        <w:rPr>
          <w:rFonts w:ascii="Arial" w:hAnsi="Arial"/>
          <w:noProof w:val="0"/>
          <w:rtl/>
        </w:rPr>
        <w:t>הזר</w:t>
      </w:r>
      <w:r>
        <w:rPr>
          <w:rFonts w:ascii="Arial" w:hAnsi="Arial"/>
          <w:noProof w:val="0"/>
          <w:rtl/>
        </w:rPr>
        <w:t xml:space="preserve"> גם לאחר שמלאו לילדה 18 שנים ועד שתסיים את לימודיה הגבוהים.</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פסק הדין </w:t>
      </w:r>
      <w:r w:rsidR="00CA72A6">
        <w:rPr>
          <w:rFonts w:ascii="Arial" w:hAnsi="Arial"/>
          <w:noProof w:val="0"/>
          <w:rtl/>
        </w:rPr>
        <w:t>הזר</w:t>
      </w:r>
      <w:r>
        <w:rPr>
          <w:rFonts w:ascii="Arial" w:hAnsi="Arial"/>
          <w:noProof w:val="0"/>
          <w:rtl/>
        </w:rPr>
        <w:t xml:space="preserve"> קובע באופן ברור מהו סכום המזונות בו חויב הנתבע ואין זה מקומו של בית משפט להתערב בפסיקתו של בית הדין</w:t>
      </w:r>
      <w:r w:rsidR="00CA72A6">
        <w:rPr>
          <w:rFonts w:ascii="Arial" w:hAnsi="Arial" w:hint="cs"/>
          <w:noProof w:val="0"/>
          <w:rtl/>
        </w:rPr>
        <w:t xml:space="preserve"> במדינת </w:t>
      </w:r>
      <w:r w:rsidR="00CA72A6">
        <w:rPr>
          <w:rFonts w:ascii="Arial" w:hAnsi="Arial" w:hint="cs"/>
          <w:noProof w:val="0"/>
        </w:rPr>
        <w:t>X</w:t>
      </w:r>
      <w:r>
        <w:rPr>
          <w:rFonts w:ascii="Arial" w:hAnsi="Arial"/>
          <w:noProof w:val="0"/>
          <w:rtl/>
        </w:rPr>
        <w:t>, על דרך של בחינת הכנסות הצדדים או הכנסותיה של הילדה שכן, כפי שציינה התובעת, ההליך שבפניי איננו תביעה לפסיקת מזונות אלא תביעה לאכיפת פסק חוץ בלבד.</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משעה שהן המומחה מטעם בית המשפט והן הרשות המרכזית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הבהירו שניהם באופן חד משמעי כי על פי הדין </w:t>
      </w:r>
      <w:r w:rsidR="00CA72A6">
        <w:rPr>
          <w:rFonts w:ascii="Arial" w:hAnsi="Arial" w:hint="cs"/>
          <w:noProof w:val="0"/>
          <w:rtl/>
        </w:rPr>
        <w:t xml:space="preserve">במדינת </w:t>
      </w:r>
      <w:r w:rsidR="00CA72A6">
        <w:rPr>
          <w:rFonts w:ascii="Arial" w:hAnsi="Arial" w:hint="cs"/>
          <w:noProof w:val="0"/>
        </w:rPr>
        <w:t>X</w:t>
      </w:r>
      <w:r>
        <w:rPr>
          <w:rFonts w:ascii="Arial" w:hAnsi="Arial"/>
          <w:noProof w:val="0"/>
          <w:rtl/>
        </w:rPr>
        <w:t>, החיוב במזונות חל גם לאחר שמלאו לילדה 18 שנים ועד לסיום הלימודים הגבוהים, ובהתאם לאישור שהוגש לפיו הילדה אכן לומדת לימודים גבוהים, הרי שיש לאכוף את החיוב בהתאם לדין</w:t>
      </w:r>
      <w:r w:rsidR="00CA72A6">
        <w:rPr>
          <w:rFonts w:ascii="Arial" w:hAnsi="Arial" w:hint="cs"/>
          <w:noProof w:val="0"/>
          <w:rtl/>
        </w:rPr>
        <w:t xml:space="preserve"> במדינת </w:t>
      </w:r>
      <w:r w:rsidR="00CA72A6">
        <w:rPr>
          <w:rFonts w:ascii="Arial" w:hAnsi="Arial" w:hint="cs"/>
          <w:noProof w:val="0"/>
        </w:rPr>
        <w:t>X</w:t>
      </w:r>
      <w:r>
        <w:rPr>
          <w:rFonts w:ascii="Arial" w:hAnsi="Arial"/>
          <w:noProof w:val="0"/>
          <w:rtl/>
        </w:rPr>
        <w:t xml:space="preserve"> ולקבוע כי החיוב של הנתבע במזונות הילדה איננו מסתיים עם הגעתה של הילדה לגיל בגרות אלא נמשך עד אשר תסיים הילדה את לימודיה הגבוהים.   </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ככל שהתובע סבור כי לשנות את סכום המזונות אשר נקבע בפסק הדין ה</w:t>
      </w:r>
      <w:r w:rsidR="00CA72A6">
        <w:rPr>
          <w:rFonts w:ascii="Arial" w:hAnsi="Arial" w:hint="cs"/>
          <w:noProof w:val="0"/>
          <w:rtl/>
        </w:rPr>
        <w:t>זר</w:t>
      </w:r>
      <w:r>
        <w:rPr>
          <w:rFonts w:ascii="Arial" w:hAnsi="Arial"/>
          <w:noProof w:val="0"/>
          <w:rtl/>
        </w:rPr>
        <w:t>, מכל טעם שהוא לרבות סיוע כלכלי שהילדה מקבלת מהרשויות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עליו לפנות אל בית המשפט </w:t>
      </w:r>
      <w:r>
        <w:rPr>
          <w:rFonts w:ascii="Arial" w:hAnsi="Arial"/>
          <w:noProof w:val="0"/>
          <w:rtl/>
        </w:rPr>
        <w:lastRenderedPageBreak/>
        <w:t>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בהליך מתאים בהתאם לדין </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בית משפט זה איננו שם עצמו בנעליו של בית המשפט ב</w:t>
      </w:r>
      <w:r w:rsidR="00CA72A6">
        <w:rPr>
          <w:rFonts w:ascii="Arial" w:hAnsi="Arial" w:hint="cs"/>
          <w:noProof w:val="0"/>
          <w:rtl/>
        </w:rPr>
        <w:t xml:space="preserve">מדינת </w:t>
      </w:r>
      <w:r w:rsidR="00CA72A6">
        <w:rPr>
          <w:rFonts w:ascii="Arial" w:hAnsi="Arial" w:hint="cs"/>
          <w:noProof w:val="0"/>
        </w:rPr>
        <w:t>X</w:t>
      </w:r>
      <w:r>
        <w:rPr>
          <w:rFonts w:ascii="Arial" w:hAnsi="Arial"/>
          <w:noProof w:val="0"/>
          <w:rtl/>
        </w:rPr>
        <w:t xml:space="preserve"> ובוודאי שאיננו יושב כערכאת ערעור על פסיקת המזונות של בית המשפט </w:t>
      </w:r>
      <w:r w:rsidR="00CA72A6">
        <w:rPr>
          <w:rFonts w:ascii="Arial" w:hAnsi="Arial" w:hint="cs"/>
          <w:noProof w:val="0"/>
          <w:rtl/>
        </w:rPr>
        <w:t xml:space="preserve">במדינת </w:t>
      </w:r>
      <w:r w:rsidR="00CA72A6">
        <w:rPr>
          <w:rFonts w:ascii="Arial" w:hAnsi="Arial" w:hint="cs"/>
          <w:noProof w:val="0"/>
        </w:rPr>
        <w:t>X</w:t>
      </w:r>
      <w:r>
        <w:rPr>
          <w:rFonts w:ascii="Arial" w:hAnsi="Arial"/>
          <w:noProof w:val="0"/>
          <w:rtl/>
        </w:rPr>
        <w:t>, אשר קבע סכום ברור בו יחויב הנתבע בעבור מזונות הילדה.</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טענותיו של הנתבע כנגד </w:t>
      </w:r>
      <w:proofErr w:type="spellStart"/>
      <w:r>
        <w:rPr>
          <w:rFonts w:ascii="Arial" w:hAnsi="Arial"/>
          <w:noProof w:val="0"/>
          <w:rtl/>
        </w:rPr>
        <w:t>חוו"ד</w:t>
      </w:r>
      <w:proofErr w:type="spellEnd"/>
      <w:r>
        <w:rPr>
          <w:rFonts w:ascii="Arial" w:hAnsi="Arial"/>
          <w:noProof w:val="0"/>
          <w:rtl/>
        </w:rPr>
        <w:t xml:space="preserve"> המומחה מטעם בית המשפט אינ</w:t>
      </w:r>
      <w:r w:rsidR="00CA72A6">
        <w:rPr>
          <w:rFonts w:ascii="Arial" w:hAnsi="Arial" w:hint="cs"/>
          <w:noProof w:val="0"/>
          <w:rtl/>
        </w:rPr>
        <w:t>ן</w:t>
      </w:r>
      <w:r>
        <w:rPr>
          <w:rFonts w:ascii="Arial" w:hAnsi="Arial"/>
          <w:noProof w:val="0"/>
          <w:rtl/>
        </w:rPr>
        <w:t xml:space="preserve"> יכולות לעמוד שכן זהותו של המומחה נקבעה בהסכמה על ידי הצדדים, השאלות עליהן נדרש המומחה לענות נוסחו על ידי הצדדים ובנוסף, הנתבע שלח למומחה שאלות הבהרה אשר נענו במלואן.</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נוכח כל האמור לעיל, אני מקבלת את התביעה ומורה כי החיוב של הנתבע במזונות מכוח פסק הדין ה</w:t>
      </w:r>
      <w:r w:rsidR="00CA72A6">
        <w:rPr>
          <w:rFonts w:ascii="Arial" w:hAnsi="Arial" w:hint="cs"/>
          <w:noProof w:val="0"/>
          <w:rtl/>
        </w:rPr>
        <w:t>זר</w:t>
      </w:r>
      <w:r>
        <w:rPr>
          <w:rFonts w:ascii="Arial" w:hAnsi="Arial"/>
          <w:noProof w:val="0"/>
          <w:rtl/>
        </w:rPr>
        <w:t>, אשר הוכרז כאכיף על פי חוק, ממשיך לעמוד בתוקפו עד שהילדה תסיים את לימודיה הגבוהים.</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מאחר וחלפו מעל לשנתיים בהם התקיים ההליך בפניי וכאשר כל משך זמן ניהול ההליך לא </w:t>
      </w:r>
      <w:proofErr w:type="spellStart"/>
      <w:r>
        <w:rPr>
          <w:rFonts w:ascii="Arial" w:hAnsi="Arial"/>
          <w:noProof w:val="0"/>
          <w:rtl/>
        </w:rPr>
        <w:t>היתה</w:t>
      </w:r>
      <w:proofErr w:type="spellEnd"/>
      <w:r>
        <w:rPr>
          <w:rFonts w:ascii="Arial" w:hAnsi="Arial"/>
          <w:noProof w:val="0"/>
          <w:rtl/>
        </w:rPr>
        <w:t xml:space="preserve"> התובעת יכולה, באופן מעשי, לגבות את תשלום המזונות בהוצאה לפועל, למען הסדר הטוב ניתן בזאת כבר עתה היתר לגביית המזונות בהוצאה לפועל באופן רטרואקטיבי גם למשך התקופה שמעל לשנתיים.</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מאחר שהתובעת יוצגה במסגרת ההליך על ידי הסיוע המשפטי, אני מורה כי הנתבע יישא בהוצאות התובעת בגין ההליך בסך מינימלי וסמלי בלבד של 2,000 ₪.</w:t>
      </w:r>
    </w:p>
    <w:p w:rsidR="00E312BE" w:rsidRDefault="00E312BE" w:rsidP="00CA72A6">
      <w:pPr>
        <w:pStyle w:val="a3"/>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המזכירות תודיע ותסגור את התיק.</w:t>
      </w:r>
    </w:p>
    <w:p w:rsidR="00E312BE" w:rsidRDefault="00E312BE" w:rsidP="00E312BE">
      <w:pPr>
        <w:spacing w:line="360" w:lineRule="auto"/>
        <w:jc w:val="both"/>
        <w:rPr>
          <w:rFonts w:ascii="Arial" w:hAnsi="Arial"/>
          <w:noProof w:val="0"/>
        </w:rPr>
      </w:pPr>
    </w:p>
    <w:p w:rsidR="00E312BE" w:rsidRDefault="00E312BE" w:rsidP="00E312BE">
      <w:pPr>
        <w:spacing w:line="360" w:lineRule="auto"/>
        <w:jc w:val="both"/>
        <w:rPr>
          <w:rFonts w:ascii="Arial" w:hAnsi="Arial"/>
          <w:noProof w:val="0"/>
          <w:rtl/>
        </w:rPr>
      </w:pPr>
    </w:p>
    <w:p w:rsidR="00E312BE" w:rsidRDefault="00E312BE" w:rsidP="00E312BE">
      <w:pPr>
        <w:spacing w:line="360" w:lineRule="auto"/>
        <w:jc w:val="both"/>
        <w:rPr>
          <w:rFonts w:ascii="Arial" w:hAnsi="Arial"/>
          <w:noProof w:val="0"/>
          <w:rtl/>
        </w:rPr>
      </w:pPr>
    </w:p>
    <w:p w:rsidR="00E312BE" w:rsidRDefault="00E312BE" w:rsidP="00E312B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י"ג כסלו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26 נובמבר 2023</w:t>
          </w:r>
        </w:sdtContent>
      </w:sdt>
      <w:r>
        <w:rPr>
          <w:rFonts w:ascii="Arial" w:hAnsi="Arial"/>
          <w:noProof w:val="0"/>
          <w:rtl/>
        </w:rPr>
        <w:t>, בהעדר הצדדים.</w:t>
      </w:r>
    </w:p>
    <w:p w:rsidR="00E312BE" w:rsidRDefault="00E312BE" w:rsidP="00E312BE">
      <w:pPr>
        <w:spacing w:line="360" w:lineRule="auto"/>
        <w:jc w:val="both"/>
        <w:rPr>
          <w:rFonts w:ascii="Arial" w:hAnsi="Arial"/>
          <w:noProof w:val="0"/>
          <w:rtl/>
        </w:rPr>
      </w:pPr>
    </w:p>
    <w:p w:rsidR="00E312BE" w:rsidRDefault="009D63F7" w:rsidP="00E312BE">
      <w:pPr>
        <w:spacing w:line="360" w:lineRule="auto"/>
        <w:ind w:left="3600" w:firstLine="720"/>
        <w:jc w:val="both"/>
        <w:rPr>
          <w:rtl/>
        </w:rPr>
      </w:pPr>
      <w:sdt>
        <w:sdtPr>
          <w:rPr>
            <w:rtl/>
          </w:rPr>
          <w:alias w:val="MergeField"/>
          <w:tag w:val="1237"/>
          <w:id w:val="-270480629"/>
        </w:sdtPr>
        <w:sdtEndPr/>
        <w:sdtContent>
          <w:r w:rsidR="00E312BE">
            <w:drawing>
              <wp:inline distT="0" distB="0" distL="0" distR="0">
                <wp:extent cx="1510030" cy="488950"/>
                <wp:effectExtent l="0" t="0" r="0" b="635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0030" cy="488950"/>
                        </a:xfrm>
                        <a:prstGeom prst="rect">
                          <a:avLst/>
                        </a:prstGeom>
                        <a:noFill/>
                        <a:ln>
                          <a:noFill/>
                        </a:ln>
                      </pic:spPr>
                    </pic:pic>
                  </a:graphicData>
                </a:graphic>
              </wp:inline>
            </w:drawing>
          </w:r>
        </w:sdtContent>
      </w:sdt>
    </w:p>
    <w:p w:rsidR="00E312BE" w:rsidRDefault="00E312BE" w:rsidP="00E312BE">
      <w:pPr>
        <w:spacing w:line="360" w:lineRule="auto"/>
        <w:ind w:left="3600" w:firstLine="720"/>
        <w:jc w:val="both"/>
        <w:rPr>
          <w:rFonts w:ascii="Arial" w:hAnsi="Arial"/>
          <w:noProof w:val="0"/>
        </w:rPr>
      </w:pPr>
    </w:p>
    <w:p w:rsidR="00E312BE" w:rsidRDefault="00E312BE" w:rsidP="00E312BE">
      <w:pPr>
        <w:spacing w:line="360" w:lineRule="auto"/>
        <w:jc w:val="both"/>
        <w:rPr>
          <w:rFonts w:ascii="Arial" w:hAnsi="Arial"/>
          <w:noProof w:val="0"/>
          <w:rtl/>
        </w:rPr>
      </w:pPr>
    </w:p>
    <w:p w:rsidR="00511293" w:rsidRDefault="00511293"/>
    <w:sectPr w:rsidR="00511293" w:rsidSect="00A12132">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3F7" w:rsidRDefault="009D63F7" w:rsidP="00E312BE">
      <w:r>
        <w:separator/>
      </w:r>
    </w:p>
  </w:endnote>
  <w:endnote w:type="continuationSeparator" w:id="0">
    <w:p w:rsidR="009D63F7" w:rsidRDefault="009D63F7" w:rsidP="00E3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10B" w:rsidRDefault="00D0710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10B" w:rsidRDefault="00D0710B">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10B" w:rsidRDefault="00D071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3F7" w:rsidRDefault="009D63F7" w:rsidP="00E312BE">
      <w:r>
        <w:separator/>
      </w:r>
    </w:p>
  </w:footnote>
  <w:footnote w:type="continuationSeparator" w:id="0">
    <w:p w:rsidR="009D63F7" w:rsidRDefault="009D63F7" w:rsidP="00E3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10B" w:rsidRDefault="00D0710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BE" w:rsidRDefault="00E312BE" w:rsidP="00E312BE">
    <w:pPr>
      <w:pStyle w:val="a6"/>
      <w:jc w:val="center"/>
      <w:rPr>
        <w:rFonts w:cs="FrankRuehl"/>
        <w:sz w:val="28"/>
        <w:szCs w:val="28"/>
      </w:rPr>
    </w:pPr>
    <w:r>
      <w:rPr>
        <w:rFonts w:cs="FrankRuehl"/>
        <w:sz w:val="28"/>
        <w:szCs w:val="28"/>
      </w:rPr>
      <w:drawing>
        <wp:inline distT="0" distB="0" distL="0" distR="0" wp14:anchorId="7BFCBEC0" wp14:editId="2A2EC06A">
          <wp:extent cx="372110" cy="467995"/>
          <wp:effectExtent l="0" t="0" r="8890" b="8255"/>
          <wp:docPr id="6" name="תמונה 6"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46799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E312BE" w:rsidTr="00FD6045">
      <w:trPr>
        <w:trHeight w:val="418"/>
        <w:jc w:val="center"/>
      </w:trPr>
      <w:sdt>
        <w:sdtPr>
          <w:rPr>
            <w:rtl/>
          </w:rPr>
          <w:alias w:val="1174"/>
          <w:tag w:val="1174"/>
          <w:id w:val="479892090"/>
          <w:text/>
        </w:sdtPr>
        <w:sdtEndPr/>
        <w:sdtContent>
          <w:tc>
            <w:tcPr>
              <w:tcW w:w="8721" w:type="dxa"/>
              <w:hideMark/>
            </w:tcPr>
            <w:p w:rsidR="00E312BE" w:rsidRDefault="00E312BE" w:rsidP="00E312BE">
              <w:pPr>
                <w:pStyle w:val="a6"/>
                <w:spacing w:line="256" w:lineRule="auto"/>
                <w:jc w:val="center"/>
                <w:rPr>
                  <w:rFonts w:cstheme="minorBidi"/>
                  <w:sz w:val="22"/>
                  <w:szCs w:val="22"/>
                </w:rPr>
              </w:pPr>
              <w:r>
                <w:rPr>
                  <w:rFonts w:ascii="Tahoma" w:hAnsi="Tahoma" w:cs="Tahoma"/>
                  <w:b/>
                  <w:bCs/>
                  <w:color w:val="000080"/>
                  <w:rtl/>
                </w:rPr>
                <w:t>בית משפט לענייני משפחה בתל אביב - יפו</w:t>
              </w:r>
            </w:p>
          </w:tc>
        </w:sdtContent>
      </w:sdt>
    </w:tr>
  </w:tbl>
  <w:p w:rsidR="00E312BE" w:rsidRDefault="00E312BE" w:rsidP="00E312BE">
    <w:pPr>
      <w:pStyle w:val="a6"/>
      <w:rPr>
        <w:rFonts w:asciiTheme="minorHAnsi" w:hAnsiTheme="minorHAnsi" w:cstheme="minorBidi"/>
        <w:sz w:val="22"/>
        <w:szCs w:val="22"/>
        <w:rtl/>
      </w:rPr>
    </w:pPr>
  </w:p>
  <w:p w:rsidR="00E312BE" w:rsidRDefault="00E312BE" w:rsidP="00E312BE">
    <w:pPr>
      <w:rPr>
        <w:b/>
        <w:bCs/>
        <w:sz w:val="26"/>
        <w:szCs w:val="26"/>
        <w:rtl/>
      </w:rPr>
    </w:pPr>
    <w:r>
      <w:rPr>
        <w:rFonts w:hint="cs"/>
        <w:b/>
        <w:bCs/>
        <w:sz w:val="26"/>
        <w:szCs w:val="26"/>
        <w:rtl/>
      </w:rPr>
      <w:t>תמ"ש 54307-05-21 האם נ' האב</w:t>
    </w:r>
  </w:p>
  <w:p w:rsidR="00E312BE" w:rsidRPr="00E312BE" w:rsidRDefault="00E312BE" w:rsidP="00E312B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10B" w:rsidRDefault="00D071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957E5"/>
    <w:multiLevelType w:val="hybridMultilevel"/>
    <w:tmpl w:val="BA6E7C4A"/>
    <w:lvl w:ilvl="0" w:tplc="B3D6A1C0">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BB3"/>
    <w:rsid w:val="000A2AC8"/>
    <w:rsid w:val="00124E8E"/>
    <w:rsid w:val="00243BB3"/>
    <w:rsid w:val="00511293"/>
    <w:rsid w:val="006522E4"/>
    <w:rsid w:val="007A71BB"/>
    <w:rsid w:val="009D63F7"/>
    <w:rsid w:val="00A12132"/>
    <w:rsid w:val="00CA72A6"/>
    <w:rsid w:val="00D0710B"/>
    <w:rsid w:val="00E312B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EBF3F9-9E1C-4724-9711-E109C8FB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2B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12BE"/>
    <w:pPr>
      <w:ind w:left="720"/>
      <w:contextualSpacing/>
    </w:pPr>
  </w:style>
  <w:style w:type="character" w:styleId="a4">
    <w:name w:val="Placeholder Text"/>
    <w:basedOn w:val="a0"/>
    <w:uiPriority w:val="99"/>
    <w:semiHidden/>
    <w:rsid w:val="00E312BE"/>
    <w:rPr>
      <w:color w:val="808080"/>
    </w:rPr>
  </w:style>
  <w:style w:type="table" w:styleId="a5">
    <w:name w:val="Table Grid"/>
    <w:basedOn w:val="a1"/>
    <w:rsid w:val="00E312B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312BE"/>
    <w:pPr>
      <w:tabs>
        <w:tab w:val="center" w:pos="4153"/>
        <w:tab w:val="right" w:pos="8306"/>
      </w:tabs>
    </w:pPr>
  </w:style>
  <w:style w:type="character" w:customStyle="1" w:styleId="a7">
    <w:name w:val="כותרת עליונה תו"/>
    <w:basedOn w:val="a0"/>
    <w:link w:val="a6"/>
    <w:uiPriority w:val="99"/>
    <w:rsid w:val="00E312BE"/>
    <w:rPr>
      <w:rFonts w:ascii="Times New Roman" w:eastAsia="Times New Roman" w:hAnsi="Times New Roman" w:cs="David"/>
      <w:noProof/>
      <w:sz w:val="24"/>
      <w:szCs w:val="24"/>
    </w:rPr>
  </w:style>
  <w:style w:type="paragraph" w:styleId="a8">
    <w:name w:val="footer"/>
    <w:basedOn w:val="a"/>
    <w:link w:val="a9"/>
    <w:uiPriority w:val="99"/>
    <w:unhideWhenUsed/>
    <w:rsid w:val="00E312BE"/>
    <w:pPr>
      <w:tabs>
        <w:tab w:val="center" w:pos="4153"/>
        <w:tab w:val="right" w:pos="8306"/>
      </w:tabs>
    </w:pPr>
  </w:style>
  <w:style w:type="character" w:customStyle="1" w:styleId="a9">
    <w:name w:val="כותרת תחתונה תו"/>
    <w:basedOn w:val="a0"/>
    <w:link w:val="a8"/>
    <w:uiPriority w:val="99"/>
    <w:rsid w:val="00E312BE"/>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10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D9EE9F81ED4B20AE893AE3C5183F0C"/>
        <w:category>
          <w:name w:val="כללי"/>
          <w:gallery w:val="placeholder"/>
        </w:category>
        <w:types>
          <w:type w:val="bbPlcHdr"/>
        </w:types>
        <w:behaviors>
          <w:behavior w:val="content"/>
        </w:behaviors>
        <w:guid w:val="{42D58A6C-AE41-499B-9A50-DF2A6CE2FB02}"/>
      </w:docPartPr>
      <w:docPartBody>
        <w:p w:rsidR="00C14734" w:rsidRDefault="006670BC" w:rsidP="006670BC">
          <w:pPr>
            <w:pStyle w:val="53D9EE9F81ED4B20AE893AE3C5183F0C"/>
          </w:pPr>
          <w:r>
            <w:rPr>
              <w:rStyle w:val="a3"/>
              <w:rtl/>
            </w:rPr>
            <w:t>תאור קבוצת שייכות צד א</w:t>
          </w:r>
        </w:p>
      </w:docPartBody>
    </w:docPart>
    <w:docPart>
      <w:docPartPr>
        <w:name w:val="113D8F1DAE3F42C18D7476F3E553E5C7"/>
        <w:category>
          <w:name w:val="כללי"/>
          <w:gallery w:val="placeholder"/>
        </w:category>
        <w:types>
          <w:type w:val="bbPlcHdr"/>
        </w:types>
        <w:behaviors>
          <w:behavior w:val="content"/>
        </w:behaviors>
        <w:guid w:val="{DB65AE1C-624A-4E9C-832A-28239E2DB046}"/>
      </w:docPartPr>
      <w:docPartBody>
        <w:p w:rsidR="00C14734" w:rsidRDefault="006670BC" w:rsidP="006670BC">
          <w:pPr>
            <w:pStyle w:val="113D8F1DAE3F42C18D7476F3E553E5C7"/>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0BC"/>
    <w:rsid w:val="006670BC"/>
    <w:rsid w:val="007161CB"/>
    <w:rsid w:val="00C14734"/>
    <w:rsid w:val="00F7163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70BC"/>
  </w:style>
  <w:style w:type="paragraph" w:customStyle="1" w:styleId="53D9EE9F81ED4B20AE893AE3C5183F0C">
    <w:name w:val="53D9EE9F81ED4B20AE893AE3C5183F0C"/>
    <w:rsid w:val="006670BC"/>
    <w:pPr>
      <w:bidi/>
    </w:pPr>
  </w:style>
  <w:style w:type="paragraph" w:customStyle="1" w:styleId="113D8F1DAE3F42C18D7476F3E553E5C7">
    <w:name w:val="113D8F1DAE3F42C18D7476F3E553E5C7"/>
    <w:rsid w:val="006670B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1086</Words>
  <Characters>5433</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לימור בגון</dc:creator>
  <cp:keywords/>
  <dc:description/>
  <cp:lastModifiedBy>אסתר טטרואשילי</cp:lastModifiedBy>
  <cp:revision>2</cp:revision>
  <dcterms:created xsi:type="dcterms:W3CDTF">2023-12-24T13:30:00Z</dcterms:created>
  <dcterms:modified xsi:type="dcterms:W3CDTF">2023-12-24T13:30:00Z</dcterms:modified>
</cp:coreProperties>
</file>